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4921" w14:textId="4ED14E46" w:rsidR="001133C0" w:rsidRPr="00197BC2" w:rsidRDefault="001133C0" w:rsidP="008E5897">
      <w:pPr>
        <w:spacing w:after="0" w:line="264" w:lineRule="auto"/>
        <w:ind w:left="-6" w:hanging="11"/>
        <w:jc w:val="both"/>
        <w:rPr>
          <w:b/>
          <w:bCs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395"/>
      </w:tblGrid>
      <w:tr w:rsidR="001133C0" w:rsidRPr="00197BC2" w14:paraId="2309316C" w14:textId="77777777" w:rsidTr="569D5371">
        <w:tc>
          <w:tcPr>
            <w:tcW w:w="9493" w:type="dxa"/>
            <w:gridSpan w:val="3"/>
          </w:tcPr>
          <w:p w14:paraId="78583DFA" w14:textId="77777777" w:rsidR="00197BC2" w:rsidRPr="00197BC2" w:rsidRDefault="001133C0" w:rsidP="00197BC2">
            <w:pPr>
              <w:jc w:val="center"/>
              <w:rPr>
                <w:rFonts w:ascii="Arial" w:eastAsia="Arial" w:hAnsi="Arial" w:cstheme="minorBidi"/>
                <w:b/>
                <w:bCs/>
                <w:color w:val="auto"/>
                <w:sz w:val="24"/>
              </w:rPr>
            </w:pPr>
            <w:r w:rsidRPr="00197BC2">
              <w:rPr>
                <w:rFonts w:ascii="Arial" w:eastAsia="Arial" w:hAnsi="Arial" w:cstheme="minorBidi"/>
                <w:b/>
                <w:bCs/>
                <w:color w:val="auto"/>
                <w:sz w:val="24"/>
              </w:rPr>
              <w:t>DISPOSIZIONI APPLICATIVE IMPEGNI AGGIUNTIVI FACOLTATIVI</w:t>
            </w:r>
          </w:p>
          <w:p w14:paraId="24F94DA3" w14:textId="77777777" w:rsidR="001133C0" w:rsidRDefault="001133C0" w:rsidP="00197BC2">
            <w:pPr>
              <w:jc w:val="center"/>
              <w:rPr>
                <w:rFonts w:ascii="Arial" w:eastAsia="Arial" w:hAnsi="Arial" w:cstheme="minorBidi"/>
                <w:b/>
                <w:bCs/>
                <w:color w:val="auto"/>
                <w:sz w:val="24"/>
              </w:rPr>
            </w:pPr>
            <w:r w:rsidRPr="00197BC2">
              <w:rPr>
                <w:rFonts w:ascii="Arial" w:eastAsia="Arial" w:hAnsi="Arial" w:cstheme="minorBidi"/>
                <w:b/>
                <w:bCs/>
                <w:color w:val="auto"/>
                <w:sz w:val="24"/>
              </w:rPr>
              <w:t>ANNUALITA’ 202</w:t>
            </w:r>
            <w:r w:rsidR="00EF755A">
              <w:rPr>
                <w:rFonts w:ascii="Arial" w:eastAsia="Arial" w:hAnsi="Arial" w:cstheme="minorBidi"/>
                <w:b/>
                <w:bCs/>
                <w:color w:val="auto"/>
                <w:sz w:val="24"/>
              </w:rPr>
              <w:t>3</w:t>
            </w:r>
          </w:p>
          <w:p w14:paraId="70FFDE89" w14:textId="7ABB2B33" w:rsidR="00160293" w:rsidRPr="001E72A2" w:rsidRDefault="0091365B" w:rsidP="00197BC2">
            <w:pPr>
              <w:jc w:val="center"/>
              <w:rPr>
                <w:rFonts w:ascii="Arial" w:eastAsia="Arial" w:hAnsi="Arial" w:cstheme="minorBidi"/>
                <w:b/>
                <w:bCs/>
                <w:color w:val="auto"/>
                <w:sz w:val="24"/>
              </w:rPr>
            </w:pPr>
            <w:r>
              <w:rPr>
                <w:rFonts w:ascii="Arial" w:eastAsia="Arial" w:hAnsi="Arial" w:cstheme="minorBidi"/>
                <w:b/>
                <w:bCs/>
                <w:color w:val="auto"/>
                <w:sz w:val="24"/>
              </w:rPr>
              <w:t>P</w:t>
            </w:r>
            <w:r w:rsidRPr="001E72A2">
              <w:rPr>
                <w:rFonts w:ascii="Arial" w:eastAsia="Arial" w:hAnsi="Arial" w:cstheme="minorBidi"/>
                <w:b/>
                <w:bCs/>
                <w:color w:val="auto"/>
                <w:sz w:val="24"/>
              </w:rPr>
              <w:t>er gli aderenti alla sola Misura 11 PSR 2014-2022</w:t>
            </w:r>
          </w:p>
        </w:tc>
      </w:tr>
      <w:tr w:rsidR="001133C0" w:rsidRPr="001133C0" w14:paraId="300D4863" w14:textId="77777777" w:rsidTr="569D5371">
        <w:tc>
          <w:tcPr>
            <w:tcW w:w="1838" w:type="dxa"/>
          </w:tcPr>
          <w:p w14:paraId="32B9C0CB" w14:textId="77777777" w:rsidR="001133C0" w:rsidRPr="001133C0" w:rsidRDefault="001133C0" w:rsidP="001133C0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1133C0">
              <w:rPr>
                <w:rFonts w:ascii="Arial" w:eastAsia="Arial" w:hAnsi="Arial" w:cstheme="minorBidi"/>
                <w:b/>
                <w:color w:val="auto"/>
                <w:sz w:val="16"/>
              </w:rPr>
              <w:t>IMPEGNO</w:t>
            </w:r>
          </w:p>
        </w:tc>
        <w:tc>
          <w:tcPr>
            <w:tcW w:w="3260" w:type="dxa"/>
          </w:tcPr>
          <w:p w14:paraId="1B260D4E" w14:textId="77777777" w:rsidR="001133C0" w:rsidRPr="001133C0" w:rsidRDefault="001133C0" w:rsidP="001133C0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1133C0">
              <w:rPr>
                <w:rFonts w:ascii="Arial" w:eastAsia="Arial" w:hAnsi="Arial" w:cstheme="minorBidi"/>
                <w:b/>
                <w:color w:val="auto"/>
                <w:sz w:val="16"/>
              </w:rPr>
              <w:t>DESCRIZIONE</w:t>
            </w:r>
          </w:p>
        </w:tc>
        <w:tc>
          <w:tcPr>
            <w:tcW w:w="4395" w:type="dxa"/>
          </w:tcPr>
          <w:p w14:paraId="1DD92FD9" w14:textId="77777777" w:rsidR="001133C0" w:rsidRPr="001133C0" w:rsidRDefault="001133C0" w:rsidP="001133C0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1133C0">
              <w:rPr>
                <w:rFonts w:ascii="Arial" w:eastAsia="Arial" w:hAnsi="Arial" w:cstheme="minorBidi"/>
                <w:b/>
                <w:color w:val="auto"/>
                <w:sz w:val="16"/>
              </w:rPr>
              <w:t>DISPOSIZIONI APPLICATIVE</w:t>
            </w:r>
          </w:p>
        </w:tc>
      </w:tr>
      <w:tr w:rsidR="00D64B82" w:rsidRPr="00D64B82" w14:paraId="6F972CE4" w14:textId="77777777" w:rsidTr="569D5371">
        <w:tc>
          <w:tcPr>
            <w:tcW w:w="1838" w:type="dxa"/>
          </w:tcPr>
          <w:p w14:paraId="089ECC6B" w14:textId="77777777" w:rsidR="001133C0" w:rsidRPr="00D64B82" w:rsidRDefault="001133C0" w:rsidP="001133C0">
            <w:pPr>
              <w:rPr>
                <w:rFonts w:ascii="Arial" w:eastAsia="Arial" w:hAnsi="Arial" w:cstheme="minorBidi"/>
                <w:b/>
                <w:color w:val="auto"/>
                <w:sz w:val="16"/>
              </w:rPr>
            </w:pPr>
          </w:p>
          <w:p w14:paraId="4F14DF2A" w14:textId="77777777" w:rsidR="001133C0" w:rsidRPr="00D64B82" w:rsidRDefault="001133C0" w:rsidP="001133C0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D64B82">
              <w:rPr>
                <w:rFonts w:ascii="Arial" w:eastAsia="Arial" w:hAnsi="Arial" w:cstheme="minorBidi"/>
                <w:b/>
                <w:color w:val="auto"/>
                <w:sz w:val="16"/>
              </w:rPr>
              <w:t>TUTTI GLI IMPEGNI</w:t>
            </w:r>
          </w:p>
        </w:tc>
        <w:tc>
          <w:tcPr>
            <w:tcW w:w="3260" w:type="dxa"/>
          </w:tcPr>
          <w:p w14:paraId="6EC2343C" w14:textId="77777777" w:rsidR="001133C0" w:rsidRPr="00D64B82" w:rsidRDefault="001133C0" w:rsidP="001133C0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4395" w:type="dxa"/>
          </w:tcPr>
          <w:p w14:paraId="2B5AC3CE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54167FCA" w14:textId="340E2DB4" w:rsidR="001133C0" w:rsidRPr="00D64B82" w:rsidRDefault="0039D216" w:rsidP="252F51C3">
            <w:pPr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L’</w:t>
            </w:r>
            <w:r w:rsidR="001133C0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Impegn</w:t>
            </w:r>
            <w:r w:rsidR="001E72A2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o</w:t>
            </w:r>
            <w:r w:rsidR="001133C0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 aggiuntiv</w:t>
            </w:r>
            <w:r w:rsidR="1442BCA5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o</w:t>
            </w:r>
            <w:r w:rsidR="001133C0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 facoltativ</w:t>
            </w:r>
            <w:r w:rsidR="14C78EE1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o</w:t>
            </w:r>
            <w:r w:rsidR="001133C0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 (IAF) </w:t>
            </w:r>
            <w:r w:rsidR="6B9FF927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25 </w:t>
            </w:r>
            <w:r w:rsidR="001133C0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si applica </w:t>
            </w:r>
            <w:proofErr w:type="gramStart"/>
            <w:r w:rsidR="001133C0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-  per</w:t>
            </w:r>
            <w:proofErr w:type="gramEnd"/>
            <w:r w:rsidR="001133C0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 l’intera superfice delle colture presenti sulle superfici aziendali soggette ad impegno che sono state individuate tra quelle presenti nella domand</w:t>
            </w:r>
            <w:r w:rsidR="00C76907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a</w:t>
            </w:r>
            <w:r w:rsidR="001133C0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 di sostegno e per tutte le cinque annualità (potranno essere inserite anche eventuali ulteriori colture ammissibili per l’IAF che dovessero essere introdotte per la prima volta nel corso delle annualità successive);</w:t>
            </w:r>
          </w:p>
          <w:p w14:paraId="7E314CEF" w14:textId="5D2A9CCE" w:rsidR="001133C0" w:rsidRPr="00D64B82" w:rsidRDefault="001133C0" w:rsidP="252F51C3">
            <w:pPr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in caso di assenza per una o più annualità –</w:t>
            </w:r>
            <w:r w:rsidR="4117EB20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 </w:t>
            </w:r>
            <w:r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inclusa quella iniziale delle colture individuate l’aiuto aggiuntivo non viene corrisposto ma l’impegno resta in essere al ritorno della coltura sulla superfice aziendale;</w:t>
            </w:r>
          </w:p>
          <w:p w14:paraId="446163E3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617EBB94" w14:textId="341D8B93" w:rsidR="001133C0" w:rsidRPr="00D64B82" w:rsidRDefault="00BC0C29" w:rsidP="252F51C3">
            <w:pPr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proofErr w:type="gramStart"/>
            <w:r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Lo </w:t>
            </w:r>
            <w:r w:rsidR="001133C0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 IAF</w:t>
            </w:r>
            <w:proofErr w:type="gramEnd"/>
            <w:r w:rsidR="001133C0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  e 23 si applica su una superfice definita nella</w:t>
            </w:r>
            <w:r w:rsidR="00C315CF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 xml:space="preserve"> </w:t>
            </w:r>
            <w:r w:rsidR="001133C0"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domanda di sostegno; tale superfice può ruotare sulla superfice aziendale nel corso del quinquennio. In relazione alla successione colturale è prevista la possibilità di riduzione della superfice fino al 25% rispetto a quelle indicate nella domanda di sostegno iniziale.</w:t>
            </w:r>
          </w:p>
          <w:p w14:paraId="0C5248BC" w14:textId="491190D8" w:rsidR="252F51C3" w:rsidRDefault="252F51C3" w:rsidP="252F51C3">
            <w:pPr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</w:p>
          <w:p w14:paraId="55EF05E4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1287676B" w14:textId="77777777" w:rsidR="001133C0" w:rsidRPr="00D64B82" w:rsidRDefault="001133C0" w:rsidP="00F64471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</w:tc>
      </w:tr>
      <w:tr w:rsidR="00D64B82" w:rsidRPr="00D64B82" w14:paraId="3B7AEF09" w14:textId="77777777" w:rsidTr="569D5371">
        <w:tc>
          <w:tcPr>
            <w:tcW w:w="1838" w:type="dxa"/>
          </w:tcPr>
          <w:p w14:paraId="0B31F5FF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16B6E246" w14:textId="77777777" w:rsidR="001133C0" w:rsidRPr="00D64B82" w:rsidRDefault="001133C0" w:rsidP="001133C0">
            <w:pPr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  <w:t>23) Impiego cover</w:t>
            </w:r>
          </w:p>
          <w:p w14:paraId="01135879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proofErr w:type="spellStart"/>
            <w:r w:rsidRPr="00D64B82"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  <w:t>crop</w:t>
            </w:r>
            <w:proofErr w:type="spellEnd"/>
          </w:p>
        </w:tc>
        <w:tc>
          <w:tcPr>
            <w:tcW w:w="3260" w:type="dxa"/>
          </w:tcPr>
          <w:p w14:paraId="5E35C08B" w14:textId="77777777" w:rsidR="001133C0" w:rsidRPr="00D64B82" w:rsidRDefault="001133C0" w:rsidP="001133C0">
            <w:pPr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4F28833E" w14:textId="77777777" w:rsidR="001133C0" w:rsidRPr="00D64B82" w:rsidRDefault="001133C0" w:rsidP="001133C0">
            <w:pPr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  <w:t>(applicato su superfici in rotazione)</w:t>
            </w:r>
          </w:p>
          <w:p w14:paraId="603FB24B" w14:textId="77777777" w:rsidR="001133C0" w:rsidRPr="00D64B82" w:rsidRDefault="001133C0" w:rsidP="001133C0">
            <w:pPr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06A7E01C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Mantenere una copertura vegetale nel periodo autunno-invernale (almeno fino alla fine del mese di febbraio mediante semina entro il 31 ottobre)</w:t>
            </w:r>
          </w:p>
          <w:p w14:paraId="714D451F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3C61A3E2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Divieto di fertilizzazione e trattamenti</w:t>
            </w:r>
          </w:p>
          <w:p w14:paraId="08D8E50E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fitosanitari e diserbi fatta eccezione per</w:t>
            </w:r>
          </w:p>
          <w:p w14:paraId="03D7F64C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disseccamento a termine periodo</w:t>
            </w:r>
          </w:p>
          <w:p w14:paraId="0F107B88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065FD38C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Per la fertilizzazione della cover </w:t>
            </w:r>
            <w:proofErr w:type="spellStart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crops</w:t>
            </w:r>
            <w:proofErr w:type="spellEnd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non è possibile utilizzare prodotti commerciali ma è ammessa la distribuzione di effluenti</w:t>
            </w:r>
          </w:p>
          <w:p w14:paraId="25434BBF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zootecnici o del </w:t>
            </w:r>
            <w:proofErr w:type="spellStart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digestato</w:t>
            </w:r>
            <w:proofErr w:type="spellEnd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, il cui effetto</w:t>
            </w:r>
          </w:p>
          <w:p w14:paraId="21BDA678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fertilizzante andrà conteggiato a favore della coltura che segue la cover </w:t>
            </w:r>
            <w:proofErr w:type="spellStart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crop</w:t>
            </w:r>
            <w:proofErr w:type="spellEnd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.</w:t>
            </w:r>
          </w:p>
          <w:p w14:paraId="03A81965" w14:textId="51814205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66CE8977" w14:textId="77777777" w:rsidR="009C2171" w:rsidRPr="00D64B82" w:rsidRDefault="009C2171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62E2FC53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395" w:type="dxa"/>
          </w:tcPr>
          <w:p w14:paraId="38F6E4AE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72AFA998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Si applica con semine a partire dall’autunno del primo anno di adesione su superfici di colture erbacee. La cover </w:t>
            </w:r>
            <w:proofErr w:type="spellStart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crop</w:t>
            </w:r>
            <w:proofErr w:type="spellEnd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dovrà essere seminata e mantenuta fino alla fine del febbraio successivo dell’anno di fine impegno.</w:t>
            </w:r>
          </w:p>
          <w:p w14:paraId="580A29DF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18F54162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Non sono considerate ammissibili come cover </w:t>
            </w:r>
            <w:proofErr w:type="spellStart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crop</w:t>
            </w:r>
            <w:proofErr w:type="spellEnd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le colture autunno vernine principali.</w:t>
            </w:r>
          </w:p>
          <w:p w14:paraId="13D9F943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2C3C3CB5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Le colture non dovranno in ogni caso essere oggetto di raccolta e/o pascolamento.</w:t>
            </w:r>
          </w:p>
          <w:p w14:paraId="1DF1BC87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5DDA598A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252F51C3">
              <w:rPr>
                <w:rFonts w:ascii="Arial" w:eastAsiaTheme="minorEastAsia" w:hAnsi="Arial" w:cs="Arial"/>
                <w:color w:val="auto"/>
                <w:sz w:val="16"/>
                <w:szCs w:val="16"/>
              </w:rPr>
              <w:t>In relazione alla successione colturale è prevista la possibilità di riduzione della superfice fino al 25% rispetto a quelle indicate nella domanda di sostegno iniziale.</w:t>
            </w:r>
          </w:p>
          <w:p w14:paraId="3C860FA8" w14:textId="6D3124FA" w:rsidR="252F51C3" w:rsidRDefault="252F51C3" w:rsidP="252F51C3">
            <w:pPr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</w:pPr>
          </w:p>
          <w:p w14:paraId="1CA9DC73" w14:textId="2442DB4A" w:rsidR="001133C0" w:rsidRPr="00D64B82" w:rsidRDefault="11E82F3A" w:rsidP="252F51C3">
            <w:pPr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</w:pPr>
            <w:proofErr w:type="gramStart"/>
            <w:r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>E’</w:t>
            </w:r>
            <w:proofErr w:type="gramEnd"/>
            <w:r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 xml:space="preserve"> fortemente sconsigliata la adesione alla IAF23 </w:t>
            </w:r>
            <w:r w:rsidR="5C1561D1"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>su</w:t>
            </w:r>
            <w:r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>ll’intera SAU aziendale per e</w:t>
            </w:r>
            <w:r w:rsidR="3319EEC3"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 xml:space="preserve">vitare di ritrovarsi senza possibilità di applicare gli impegni nelle annualità nelle quali si praticano </w:t>
            </w:r>
            <w:r w:rsidR="6817F12E"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 xml:space="preserve">ad esempio </w:t>
            </w:r>
            <w:r w:rsidR="3319EEC3"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 xml:space="preserve">colture </w:t>
            </w:r>
            <w:r w:rsidR="62FB9346"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 xml:space="preserve">di </w:t>
            </w:r>
            <w:r w:rsidR="3319EEC3"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>cereali autunno</w:t>
            </w:r>
            <w:r w:rsidR="6042C45C"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>-</w:t>
            </w:r>
            <w:r w:rsidR="3319EEC3"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>vernini o col</w:t>
            </w:r>
            <w:r w:rsidR="71BED3F4"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>t</w:t>
            </w:r>
            <w:r w:rsidR="3319EEC3"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>ur</w:t>
            </w:r>
            <w:r w:rsidR="491ACB0E"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>e poliennali</w:t>
            </w:r>
            <w:r w:rsidR="3376366D"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 xml:space="preserve">. Dovrà quindi essere eseguita una analisi preliminare di quali colture possano anticipare o seguire le cover </w:t>
            </w:r>
            <w:proofErr w:type="spellStart"/>
            <w:r w:rsidR="3376366D"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>crops</w:t>
            </w:r>
            <w:proofErr w:type="spellEnd"/>
            <w:r w:rsidR="2B5B994A" w:rsidRPr="569D5371">
              <w:rPr>
                <w:rFonts w:ascii="Arial" w:eastAsiaTheme="minorEastAsia" w:hAnsi="Arial" w:cs="Arial"/>
                <w:color w:val="auto"/>
                <w:sz w:val="16"/>
                <w:szCs w:val="16"/>
                <w:u w:val="single"/>
              </w:rPr>
              <w:t xml:space="preserve"> ed individuare la quota di SAU da mettere sotto impegno.</w:t>
            </w:r>
          </w:p>
        </w:tc>
      </w:tr>
      <w:tr w:rsidR="001133C0" w:rsidRPr="00D64B82" w14:paraId="019DBAA2" w14:textId="77777777" w:rsidTr="569D5371">
        <w:tc>
          <w:tcPr>
            <w:tcW w:w="1838" w:type="dxa"/>
          </w:tcPr>
          <w:p w14:paraId="47612562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74E40394" w14:textId="77777777" w:rsidR="001133C0" w:rsidRPr="00D64B82" w:rsidRDefault="001133C0" w:rsidP="001133C0">
            <w:pPr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  <w:t>25) Impiego del</w:t>
            </w:r>
          </w:p>
          <w:p w14:paraId="6A6A42F1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  <w:t xml:space="preserve">sistema </w:t>
            </w:r>
            <w:proofErr w:type="spellStart"/>
            <w:r w:rsidRPr="00D64B82"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  <w:t>Irrinet</w:t>
            </w:r>
            <w:proofErr w:type="spellEnd"/>
          </w:p>
        </w:tc>
        <w:tc>
          <w:tcPr>
            <w:tcW w:w="3260" w:type="dxa"/>
          </w:tcPr>
          <w:p w14:paraId="09971343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03CAA08C" w14:textId="77777777" w:rsidR="001133C0" w:rsidRPr="00D64B82" w:rsidRDefault="001133C0" w:rsidP="001133C0">
            <w:pPr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  <w:t>(applicato su superfici di colture irrigue)</w:t>
            </w:r>
          </w:p>
          <w:p w14:paraId="0F7DDEF9" w14:textId="77777777" w:rsidR="001133C0" w:rsidRPr="00D64B82" w:rsidRDefault="001133C0" w:rsidP="001133C0">
            <w:pPr>
              <w:rPr>
                <w:rFonts w:ascii="Arial" w:eastAsiaTheme="minorHAnsi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6ADFAE34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Impiego del sistema </w:t>
            </w:r>
            <w:proofErr w:type="spellStart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Irrinet</w:t>
            </w:r>
            <w:proofErr w:type="spellEnd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(o altro sistema</w:t>
            </w:r>
          </w:p>
          <w:p w14:paraId="222AE020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equivalente, vedi nota) per il calcolo del</w:t>
            </w:r>
          </w:p>
          <w:p w14:paraId="61E5005E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bilancio idrico.</w:t>
            </w:r>
          </w:p>
          <w:p w14:paraId="294C00B3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63C391BE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proofErr w:type="gramStart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E’</w:t>
            </w:r>
            <w:proofErr w:type="gramEnd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richiesto un numero minimo di accessi al sistema </w:t>
            </w:r>
            <w:proofErr w:type="spellStart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Irrinet</w:t>
            </w:r>
            <w:proofErr w:type="spellEnd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per la definizione del bilancio sugli appezzamenti nel corso della stagione irrigua (marzo-ottobre): 10 con aspersione e 20 con </w:t>
            </w:r>
            <w:proofErr w:type="spellStart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microirrigazione</w:t>
            </w:r>
            <w:proofErr w:type="spellEnd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.</w:t>
            </w:r>
          </w:p>
          <w:p w14:paraId="60BB0122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012770C3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Registrazione dei dati meteo e irrigazione.</w:t>
            </w:r>
          </w:p>
          <w:p w14:paraId="611DA288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48F1365D" w14:textId="3E24EA5E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Nota: sistemi diversi da </w:t>
            </w:r>
            <w:proofErr w:type="spellStart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Irrinet</w:t>
            </w:r>
            <w:proofErr w:type="spellEnd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potranno essere utilizzati esclusivamente solo a </w:t>
            </w: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lastRenderedPageBreak/>
              <w:t>seguito specifica   richiesta   al   Servizio   Agricoltura sostenibile e previa verifica e dimostrazione delle prestazioni di riduzione impiego acqua e della modalità di controllo.</w:t>
            </w:r>
          </w:p>
        </w:tc>
        <w:tc>
          <w:tcPr>
            <w:tcW w:w="4395" w:type="dxa"/>
          </w:tcPr>
          <w:p w14:paraId="68BF75DC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14195E3A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Obbligo alla iscrizione al sistema </w:t>
            </w:r>
            <w:proofErr w:type="spellStart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Irrinet</w:t>
            </w:r>
            <w:proofErr w:type="spellEnd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entro il 30 Aprile</w:t>
            </w:r>
          </w:p>
          <w:p w14:paraId="2C40A0BA" w14:textId="648B57A8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dell’anno di prima adesione con registrazione obbligatoria del CUAA, degli appezzamenti con relative superfici e delle colture per le quali si assume l’impegno (adottando quanto indicato nel manuale pubblicato nel sito Disciplinari di Produzione integrata vegetali </w:t>
            </w: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  <w:u w:val="single"/>
              </w:rPr>
              <w:t>http://agricoltura.regione.emilia-romagna.it/produzioni-agroalimentari/doc/disciplinari/produzione-integrata/Collezione-dpi</w:t>
            </w:r>
          </w:p>
          <w:p w14:paraId="4662C840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ab/>
            </w:r>
          </w:p>
          <w:p w14:paraId="56A9206E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Applicabile solo in particelle individuate come irrigabili nel piano colturale/fascicolo aziendale.</w:t>
            </w:r>
          </w:p>
          <w:p w14:paraId="314E0C5B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  <w:p w14:paraId="7723C550" w14:textId="19CD55E0" w:rsidR="004549E0" w:rsidRDefault="001133C0" w:rsidP="00E73B63">
            <w:pPr>
              <w:rPr>
                <w:rFonts w:ascii="Arial" w:eastAsiaTheme="minorHAnsi" w:hAnsi="Arial" w:cs="Arial"/>
                <w:color w:val="auto"/>
                <w:sz w:val="16"/>
                <w:szCs w:val="16"/>
                <w:u w:val="single"/>
              </w:rPr>
            </w:pPr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Applicabile sulle sole colture gestite dal sistema </w:t>
            </w:r>
            <w:proofErr w:type="spellStart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>Irrinet</w:t>
            </w:r>
            <w:proofErr w:type="spellEnd"/>
            <w:r w:rsidRPr="00D64B82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(lista disponibile sul sito</w:t>
            </w:r>
            <w:r w:rsidR="00E73B63">
              <w:rPr>
                <w:rFonts w:ascii="Arial" w:eastAsiaTheme="minorHAnsi" w:hAnsi="Arial" w:cs="Arial"/>
                <w:color w:val="auto"/>
                <w:sz w:val="16"/>
                <w:szCs w:val="16"/>
              </w:rPr>
              <w:t xml:space="preserve"> </w:t>
            </w:r>
            <w:hyperlink r:id="rId7" w:history="1">
              <w:r w:rsidR="00E73B63" w:rsidRPr="00E73B63">
                <w:rPr>
                  <w:rStyle w:val="Collegamentoipertestuale"/>
                  <w:rFonts w:ascii="Arial" w:eastAsiaTheme="minorHAnsi" w:hAnsi="Arial" w:cs="Arial"/>
                  <w:sz w:val="16"/>
                  <w:szCs w:val="16"/>
                </w:rPr>
                <w:t>Produzione integrata vegetale — Agricoltura, caccia e pesca (regione.emilia-romagna.it)</w:t>
              </w:r>
            </w:hyperlink>
          </w:p>
          <w:p w14:paraId="32558054" w14:textId="77777777" w:rsidR="004549E0" w:rsidRPr="00D64B82" w:rsidRDefault="004549E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  <w:u w:val="single"/>
              </w:rPr>
            </w:pPr>
          </w:p>
          <w:p w14:paraId="496C7DA3" w14:textId="1528F082" w:rsidR="001133C0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  <w:u w:val="single"/>
              </w:rPr>
            </w:pPr>
          </w:p>
          <w:p w14:paraId="592D15ED" w14:textId="77777777" w:rsidR="004549E0" w:rsidRPr="00D64B82" w:rsidRDefault="004549E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  <w:u w:val="single"/>
              </w:rPr>
            </w:pPr>
          </w:p>
          <w:p w14:paraId="621CB021" w14:textId="77777777" w:rsidR="001133C0" w:rsidRPr="00D64B82" w:rsidRDefault="001133C0" w:rsidP="001133C0">
            <w:pPr>
              <w:rPr>
                <w:rFonts w:ascii="Arial" w:eastAsiaTheme="minorHAnsi" w:hAnsi="Arial" w:cs="Arial"/>
                <w:color w:val="auto"/>
                <w:sz w:val="16"/>
                <w:szCs w:val="16"/>
              </w:rPr>
            </w:pPr>
          </w:p>
        </w:tc>
      </w:tr>
    </w:tbl>
    <w:p w14:paraId="0159E702" w14:textId="77777777" w:rsidR="001133C0" w:rsidRPr="00D64B82" w:rsidRDefault="001133C0" w:rsidP="008E5897">
      <w:pPr>
        <w:spacing w:after="0" w:line="264" w:lineRule="auto"/>
        <w:ind w:left="-6" w:hanging="11"/>
        <w:jc w:val="both"/>
        <w:rPr>
          <w:color w:val="auto"/>
          <w:u w:val="single"/>
        </w:rPr>
      </w:pPr>
    </w:p>
    <w:sectPr w:rsidR="001133C0" w:rsidRPr="00D64B82">
      <w:pgSz w:w="11905" w:h="16838"/>
      <w:pgMar w:top="1871" w:right="1153" w:bottom="154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DCE7" w14:textId="77777777" w:rsidR="001E5370" w:rsidRDefault="001E5370" w:rsidP="00A842C6">
      <w:pPr>
        <w:spacing w:after="0" w:line="240" w:lineRule="auto"/>
      </w:pPr>
      <w:r>
        <w:separator/>
      </w:r>
    </w:p>
  </w:endnote>
  <w:endnote w:type="continuationSeparator" w:id="0">
    <w:p w14:paraId="749ABF36" w14:textId="77777777" w:rsidR="001E5370" w:rsidRDefault="001E5370" w:rsidP="00A8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C50B" w14:textId="77777777" w:rsidR="001E5370" w:rsidRDefault="001E5370" w:rsidP="00A842C6">
      <w:pPr>
        <w:spacing w:after="0" w:line="240" w:lineRule="auto"/>
      </w:pPr>
      <w:r>
        <w:separator/>
      </w:r>
    </w:p>
  </w:footnote>
  <w:footnote w:type="continuationSeparator" w:id="0">
    <w:p w14:paraId="0A4749A9" w14:textId="77777777" w:rsidR="001E5370" w:rsidRDefault="001E5370" w:rsidP="00A8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70F"/>
    <w:multiLevelType w:val="hybridMultilevel"/>
    <w:tmpl w:val="0A581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7CAA"/>
    <w:multiLevelType w:val="hybridMultilevel"/>
    <w:tmpl w:val="7DAEE6DE"/>
    <w:lvl w:ilvl="0" w:tplc="FDD0A80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0AB2"/>
    <w:multiLevelType w:val="hybridMultilevel"/>
    <w:tmpl w:val="0CE05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410E6"/>
    <w:multiLevelType w:val="hybridMultilevel"/>
    <w:tmpl w:val="ED0C71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60C60"/>
    <w:multiLevelType w:val="hybridMultilevel"/>
    <w:tmpl w:val="207E004E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33D6167"/>
    <w:multiLevelType w:val="hybridMultilevel"/>
    <w:tmpl w:val="E1FC3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54AC"/>
    <w:multiLevelType w:val="hybridMultilevel"/>
    <w:tmpl w:val="D0B424BE"/>
    <w:lvl w:ilvl="0" w:tplc="FDD0A80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5439B"/>
    <w:multiLevelType w:val="hybridMultilevel"/>
    <w:tmpl w:val="82D8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A184D"/>
    <w:multiLevelType w:val="hybridMultilevel"/>
    <w:tmpl w:val="FE62A56C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 w15:restartNumberingAfterBreak="0">
    <w:nsid w:val="669B120E"/>
    <w:multiLevelType w:val="hybridMultilevel"/>
    <w:tmpl w:val="2566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92626"/>
    <w:multiLevelType w:val="hybridMultilevel"/>
    <w:tmpl w:val="4D96E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7329B"/>
    <w:multiLevelType w:val="hybridMultilevel"/>
    <w:tmpl w:val="42366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854202">
    <w:abstractNumId w:val="1"/>
  </w:num>
  <w:num w:numId="2" w16cid:durableId="1090194697">
    <w:abstractNumId w:val="3"/>
  </w:num>
  <w:num w:numId="3" w16cid:durableId="326176300">
    <w:abstractNumId w:val="5"/>
  </w:num>
  <w:num w:numId="4" w16cid:durableId="510147697">
    <w:abstractNumId w:val="10"/>
  </w:num>
  <w:num w:numId="5" w16cid:durableId="482241618">
    <w:abstractNumId w:val="6"/>
  </w:num>
  <w:num w:numId="6" w16cid:durableId="186212531">
    <w:abstractNumId w:val="8"/>
  </w:num>
  <w:num w:numId="7" w16cid:durableId="74787499">
    <w:abstractNumId w:val="0"/>
  </w:num>
  <w:num w:numId="8" w16cid:durableId="1545486970">
    <w:abstractNumId w:val="11"/>
  </w:num>
  <w:num w:numId="9" w16cid:durableId="178205733">
    <w:abstractNumId w:val="9"/>
  </w:num>
  <w:num w:numId="10" w16cid:durableId="2066291373">
    <w:abstractNumId w:val="2"/>
  </w:num>
  <w:num w:numId="11" w16cid:durableId="631979573">
    <w:abstractNumId w:val="4"/>
  </w:num>
  <w:num w:numId="12" w16cid:durableId="1672875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A1"/>
    <w:rsid w:val="000953B3"/>
    <w:rsid w:val="001133C0"/>
    <w:rsid w:val="00160293"/>
    <w:rsid w:val="00197BC2"/>
    <w:rsid w:val="001E5370"/>
    <w:rsid w:val="001E72A2"/>
    <w:rsid w:val="00277B50"/>
    <w:rsid w:val="002A4B30"/>
    <w:rsid w:val="002B0689"/>
    <w:rsid w:val="002D76CE"/>
    <w:rsid w:val="0039D216"/>
    <w:rsid w:val="004549E0"/>
    <w:rsid w:val="004769B1"/>
    <w:rsid w:val="004935ED"/>
    <w:rsid w:val="005028F2"/>
    <w:rsid w:val="005E442A"/>
    <w:rsid w:val="005F1152"/>
    <w:rsid w:val="00627CF5"/>
    <w:rsid w:val="00663020"/>
    <w:rsid w:val="006A7D5F"/>
    <w:rsid w:val="006C00E9"/>
    <w:rsid w:val="007E40BF"/>
    <w:rsid w:val="008475EA"/>
    <w:rsid w:val="00850954"/>
    <w:rsid w:val="00890961"/>
    <w:rsid w:val="008E5897"/>
    <w:rsid w:val="0091365B"/>
    <w:rsid w:val="009C2171"/>
    <w:rsid w:val="00A40D7B"/>
    <w:rsid w:val="00A534A1"/>
    <w:rsid w:val="00A62303"/>
    <w:rsid w:val="00A842C6"/>
    <w:rsid w:val="00AB1F8F"/>
    <w:rsid w:val="00AB75ED"/>
    <w:rsid w:val="00AD22C9"/>
    <w:rsid w:val="00AE2432"/>
    <w:rsid w:val="00AF750A"/>
    <w:rsid w:val="00BB1519"/>
    <w:rsid w:val="00BC0C29"/>
    <w:rsid w:val="00C24000"/>
    <w:rsid w:val="00C315CF"/>
    <w:rsid w:val="00C74386"/>
    <w:rsid w:val="00C76907"/>
    <w:rsid w:val="00CB3C82"/>
    <w:rsid w:val="00CE7835"/>
    <w:rsid w:val="00D1518B"/>
    <w:rsid w:val="00D64B82"/>
    <w:rsid w:val="00DB228F"/>
    <w:rsid w:val="00E55F70"/>
    <w:rsid w:val="00E73B63"/>
    <w:rsid w:val="00EC3D2B"/>
    <w:rsid w:val="00EF34A4"/>
    <w:rsid w:val="00EF755A"/>
    <w:rsid w:val="00F64471"/>
    <w:rsid w:val="00F83139"/>
    <w:rsid w:val="00FA4B64"/>
    <w:rsid w:val="0100B375"/>
    <w:rsid w:val="028C9F38"/>
    <w:rsid w:val="087241E0"/>
    <w:rsid w:val="11E82F3A"/>
    <w:rsid w:val="1442BCA5"/>
    <w:rsid w:val="14C78EE1"/>
    <w:rsid w:val="152296F9"/>
    <w:rsid w:val="252F51C3"/>
    <w:rsid w:val="2B5B994A"/>
    <w:rsid w:val="3319EEC3"/>
    <w:rsid w:val="3376366D"/>
    <w:rsid w:val="4117EB20"/>
    <w:rsid w:val="491ACB0E"/>
    <w:rsid w:val="4E493358"/>
    <w:rsid w:val="4FCBDB5C"/>
    <w:rsid w:val="5180D41A"/>
    <w:rsid w:val="55018310"/>
    <w:rsid w:val="569D5371"/>
    <w:rsid w:val="5C1561D1"/>
    <w:rsid w:val="6042C45C"/>
    <w:rsid w:val="62FB9346"/>
    <w:rsid w:val="640D62DB"/>
    <w:rsid w:val="6817F12E"/>
    <w:rsid w:val="6B9FF927"/>
    <w:rsid w:val="6BFF4C63"/>
    <w:rsid w:val="70D2BD86"/>
    <w:rsid w:val="71BED3F4"/>
    <w:rsid w:val="740A5E48"/>
    <w:rsid w:val="7835C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10FC"/>
  <w15:docId w15:val="{A21DB9B3-C7D6-4402-B8A7-E3162318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58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5897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1133C0"/>
  </w:style>
  <w:style w:type="table" w:styleId="Grigliatabella">
    <w:name w:val="Table Grid"/>
    <w:basedOn w:val="Tabellanormale"/>
    <w:uiPriority w:val="39"/>
    <w:rsid w:val="001133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3C0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3C0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1133C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84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2C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84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2C6"/>
    <w:rPr>
      <w:rFonts w:ascii="Calibri" w:eastAsia="Calibri" w:hAnsi="Calibri" w:cs="Calibri"/>
      <w:color w:val="000000"/>
    </w:rPr>
  </w:style>
  <w:style w:type="paragraph" w:styleId="Revisione">
    <w:name w:val="Revision"/>
    <w:hidden/>
    <w:uiPriority w:val="99"/>
    <w:semiHidden/>
    <w:rsid w:val="00CB3C8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ricoltura.regione.emilia-romagna.it/produzioni-agroalimentari/temi/bio-agro-climambiente/agricoltura-integrata/disciplinari-produzione-integrata-veget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4.docx</dc:title>
  <dc:subject/>
  <dc:creator>Novembre Guido</dc:creator>
  <cp:keywords/>
  <cp:lastModifiedBy>Novembre Guido</cp:lastModifiedBy>
  <cp:revision>24</cp:revision>
  <cp:lastPrinted>2020-02-27T09:56:00Z</cp:lastPrinted>
  <dcterms:created xsi:type="dcterms:W3CDTF">2021-02-05T10:55:00Z</dcterms:created>
  <dcterms:modified xsi:type="dcterms:W3CDTF">2023-02-16T08:49:00Z</dcterms:modified>
</cp:coreProperties>
</file>