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487F0" w14:textId="1BB76140" w:rsidR="00D802BC" w:rsidRDefault="006A63E5">
      <w:r>
        <w:t>prova</w:t>
      </w:r>
    </w:p>
    <w:sectPr w:rsidR="00D80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E5"/>
    <w:rsid w:val="00253041"/>
    <w:rsid w:val="006A63E5"/>
    <w:rsid w:val="00D802BC"/>
    <w:rsid w:val="00E4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25A8"/>
  <w15:chartTrackingRefBased/>
  <w15:docId w15:val="{68D730F1-58F8-4F8C-9211-A7F90EFC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Regione Emilia-Romagna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Nacci Lucia</dc:creator>
  <cp:keywords/>
  <dc:description/>
  <cp:lastModifiedBy>Nacci Lucia</cp:lastModifiedBy>
  <cp:revision>2</cp:revision>
  <dcterms:created xsi:type="dcterms:W3CDTF">2024-02-14T13:17:00Z</dcterms:created>
  <dcterms:modified xsi:type="dcterms:W3CDTF">2024-02-14T13:47:00Z</dcterms:modified>
</cp:coreProperties>
</file>